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</w:rPr>
      </w:pPr>
      <w:r>
        <w:rPr>
          <w:b/>
          <w:sz w:val="28"/>
        </w:rPr>
        <w:t xml:space="preserve">ПОЯСНИТЕЛЬНАЯ ЗАПИСКА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к проекту решения Думы города Владивостока «О принятии 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правового акта города Владивостока «О внесении изменений в муниципальный правовой акт города Владивостока от 17.12.2024 № 145-МПА «О бюджете Владивостокского  городского округа 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на 2025 год и плановый период 2026 и 2027 годов»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</w:rPr>
        <w:t xml:space="preserve">Внесение изменений в муниципальный правовой акт города Владивостока от 17.12.2024 № 145-МП</w:t>
      </w:r>
      <w:r>
        <w:rPr>
          <w:sz w:val="28"/>
        </w:rPr>
        <w:t xml:space="preserve">А</w:t>
      </w:r>
      <w:r>
        <w:rPr>
          <w:sz w:val="28"/>
        </w:rPr>
        <w:t xml:space="preserve"> «О бюджете Владивостокского городского округа на 2025 год и плановый период 2026 и 2027 годов» (далее – проект) обусловлено необходимостью корректировки доходной и расходной частей бюджета Владивостокского городского округа в связи с уточнением  объемов </w:t>
      </w:r>
      <w:r>
        <w:rPr>
          <w:sz w:val="28"/>
          <w:szCs w:val="28"/>
        </w:rPr>
        <w:t xml:space="preserve">налоговых и  неналоговых  доходов</w:t>
      </w:r>
      <w:r>
        <w:rPr>
          <w:sz w:val="28"/>
          <w:szCs w:val="28"/>
        </w:rPr>
        <w:t xml:space="preserve">, а также объемов межбюджетных трансфертов.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</w:rPr>
      </w:pPr>
      <w:r>
        <w:rPr>
          <w:sz w:val="28"/>
          <w:szCs w:val="28"/>
        </w:rPr>
        <w:t xml:space="preserve">1. В связи с вносимыми изменениями параметры </w:t>
      </w:r>
      <w:r>
        <w:rPr>
          <w:sz w:val="28"/>
        </w:rPr>
        <w:t xml:space="preserve">бюджета Владивостокского городского округа составят:</w:t>
      </w:r>
      <w:r>
        <w:rPr>
          <w:sz w:val="28"/>
        </w:rPr>
      </w:r>
      <w:r>
        <w:rPr>
          <w:sz w:val="28"/>
        </w:rPr>
      </w:r>
    </w:p>
    <w:p>
      <w:pPr>
        <w:contextualSpacing/>
        <w:ind w:firstLine="709"/>
        <w:jc w:val="right"/>
        <w:spacing w:line="360" w:lineRule="auto"/>
        <w:rPr>
          <w:sz w:val="28"/>
        </w:rPr>
      </w:pPr>
      <w:r>
        <w:rPr>
          <w:sz w:val="28"/>
        </w:rPr>
        <w:t xml:space="preserve">тыс. рублей</w:t>
      </w:r>
      <w:r>
        <w:rPr>
          <w:sz w:val="28"/>
        </w:rPr>
      </w:r>
      <w:r>
        <w:rPr>
          <w:sz w:val="28"/>
        </w:rPr>
      </w:r>
    </w:p>
    <w:tbl>
      <w:tblPr>
        <w:tblW w:w="9725" w:type="dxa"/>
        <w:tblInd w:w="95" w:type="dxa"/>
        <w:tblLook w:val="04A0" w:firstRow="1" w:lastRow="0" w:firstColumn="1" w:lastColumn="0" w:noHBand="0" w:noVBand="1"/>
      </w:tblPr>
      <w:tblGrid>
        <w:gridCol w:w="4691"/>
        <w:gridCol w:w="1596"/>
        <w:gridCol w:w="1806"/>
        <w:gridCol w:w="1632"/>
      </w:tblGrid>
      <w:tr>
        <w:tblPrEx/>
        <w:trPr>
          <w:trHeight w:val="39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69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59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2025 год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2026 год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2027 год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69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ДОХОДЫ, всего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59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36 356 749,56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27 973 375,48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28 330 794,51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69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59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16 545 210,00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13 990 485,00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14 713 685,00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469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безвозмездные поступления, всего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59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19 811 539,56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13 982 890,48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13 617 109,51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3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691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в том числе: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9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91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РФ (межбюджетные трансферты)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19 811 539,56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13 982 890,48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13 617 109,51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69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РАСХОДЫ, всего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59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36 993 799,69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27 095 990,48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27 364 594,51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349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691" w:type="dxa"/>
            <w:vAlign w:val="center"/>
            <w:textDirection w:val="lrTb"/>
            <w:noWrap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Всего распределено расходов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59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36 993 799,69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26 245 412,12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25 792 436,70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407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69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условно утверждаемые расходы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59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850 578,36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1 572 157,81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34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691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ДЕФИЦИ</w:t>
            </w:r>
            <w:r>
              <w:rPr>
                <w:bCs/>
                <w:color w:val="000000"/>
                <w:sz w:val="24"/>
                <w:szCs w:val="24"/>
              </w:rPr>
              <w:t xml:space="preserve">Т(</w:t>
            </w:r>
            <w:r>
              <w:rPr>
                <w:bCs/>
                <w:color w:val="000000"/>
                <w:sz w:val="24"/>
                <w:szCs w:val="24"/>
              </w:rPr>
              <w:t xml:space="preserve">-)/ПРОФИЦИТ(+)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59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- 637 050, 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877 385,00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966 200,00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2. Доходы.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План по доходам на 2025 год уменьшен н</w:t>
      </w:r>
      <w:r>
        <w:rPr>
          <w:sz w:val="28"/>
          <w:szCs w:val="28"/>
        </w:rPr>
        <w:t xml:space="preserve">а 114 875,87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 составит  36 356 749,56   тыс</w:t>
      </w:r>
      <w:r>
        <w:rPr>
          <w:sz w:val="28"/>
          <w:szCs w:val="28"/>
        </w:rPr>
        <w:t xml:space="preserve">. р</w:t>
      </w:r>
      <w:r>
        <w:rPr>
          <w:sz w:val="28"/>
          <w:szCs w:val="28"/>
        </w:rPr>
        <w:t xml:space="preserve">ублей.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Налоговые доходы 2025 года увеличены на 692 868,00 тыс. рублей и составят 13 550 175,00 тыс. рублей. 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На основании сведений, представленных Межрайонной ИФНС России </w:t>
      </w:r>
      <w:r>
        <w:rPr>
          <w:sz w:val="28"/>
          <w:szCs w:val="28"/>
        </w:rPr>
        <w:t xml:space="preserve">№ 12, увеличен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налогу на доходы физических лиц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 xml:space="preserve">692 868,00</w:t>
      </w:r>
      <w:r>
        <w:rPr>
          <w:sz w:val="28"/>
          <w:szCs w:val="28"/>
        </w:rPr>
        <w:t xml:space="preserve"> тыс. рублей в связи с поступлением разового платежа от участника САР, а также, в связи с внесением изменений в постановление Правительства Приморского края от 30.08</w:t>
      </w:r>
      <w:r>
        <w:rPr>
          <w:sz w:val="28"/>
          <w:szCs w:val="28"/>
        </w:rPr>
        <w:t xml:space="preserve">.2024  № 620-пп «Об </w:t>
      </w:r>
      <w:r>
        <w:rPr>
          <w:sz w:val="28"/>
          <w:szCs w:val="28"/>
        </w:rPr>
        <w:t xml:space="preserve">индексации заработной платы работников государственных учреждений Приморского края в 2025 году» на основании которого произведена индексация заработной платы работников государственных учреждений на 7,6% вместо запланированных 4,5%  (с  9 190 237</w:t>
      </w:r>
      <w:r>
        <w:rPr>
          <w:sz w:val="28"/>
          <w:szCs w:val="28"/>
        </w:rPr>
        <w:t xml:space="preserve">,00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 до 9 883 105,00 тыс. рублей)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Неналоговые доходы уменьшены на 607 868,00 тыс. рублей и составят 2 995 035,00 тыс. рублей.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 основании сведений, представленных Дальневосточным межрегиональным упр</w:t>
      </w:r>
      <w:r>
        <w:rPr>
          <w:sz w:val="28"/>
          <w:szCs w:val="28"/>
        </w:rPr>
        <w:t xml:space="preserve">авлением </w:t>
      </w:r>
      <w:r>
        <w:rPr>
          <w:sz w:val="28"/>
          <w:szCs w:val="28"/>
        </w:rPr>
        <w:t xml:space="preserve">Росприроднадзора на сумму 10 000,00 тыс. рублей увеличены поступления по плате за негативное воздействие на окружающую среду в связи с фактическим исполнением. </w:t>
      </w:r>
      <w:r>
        <w:rPr>
          <w:sz w:val="28"/>
          <w:szCs w:val="28"/>
          <w:lang w:eastAsia="zh-CN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На основании сведений, представленных Управлением муниципальной собственности, уменьшены</w:t>
      </w:r>
      <w:r>
        <w:rPr>
          <w:sz w:val="28"/>
          <w:szCs w:val="28"/>
        </w:rPr>
        <w:t xml:space="preserve"> доходы от реализации имущества, находящегося в муниципальной собственности, в рамках программы приватизации на сумму 617 868,00 тыс. рублей,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связи с принятием решений о распоряжении муниципальным имуществом, ранее предполагаемым к реализации в 2025 году, а именно, предоставлением</w:t>
      </w:r>
      <w:r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в безвозмездное пользование, передачей в аренду, прекращением права муниципальной собственности на объекты недвижимо</w:t>
      </w:r>
      <w:r>
        <w:rPr>
          <w:sz w:val="28"/>
          <w:szCs w:val="28"/>
        </w:rPr>
        <w:t xml:space="preserve">го имущества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Уменьшены</w:t>
      </w:r>
      <w:r>
        <w:rPr>
          <w:sz w:val="28"/>
          <w:szCs w:val="28"/>
        </w:rPr>
        <w:t xml:space="preserve"> безвозмездные поступления о</w:t>
      </w:r>
      <w:r>
        <w:rPr>
          <w:sz w:val="28"/>
          <w:szCs w:val="28"/>
        </w:rPr>
        <w:t xml:space="preserve">т других бюджетов бюджетной системы Российской Федерации на 2025 год </w:t>
      </w:r>
      <w:r>
        <w:rPr>
          <w:sz w:val="28"/>
          <w:szCs w:val="28"/>
        </w:rPr>
        <w:t xml:space="preserve">на сумму 199</w:t>
      </w:r>
      <w:r>
        <w:rPr>
          <w:sz w:val="28"/>
          <w:szCs w:val="28"/>
        </w:rPr>
        <w:t xml:space="preserve"> 875</w:t>
      </w:r>
      <w:r>
        <w:rPr>
          <w:sz w:val="28"/>
          <w:szCs w:val="28"/>
        </w:rPr>
        <w:t xml:space="preserve">, 87</w:t>
      </w:r>
      <w:r>
        <w:rPr>
          <w:sz w:val="28"/>
          <w:szCs w:val="28"/>
        </w:rPr>
        <w:t xml:space="preserve"> тыс.рублей и составят 19</w:t>
      </w:r>
      <w:r>
        <w:rPr>
          <w:sz w:val="28"/>
          <w:szCs w:val="28"/>
        </w:rPr>
        <w:t xml:space="preserve"> 811</w:t>
      </w:r>
      <w:r>
        <w:rPr>
          <w:sz w:val="28"/>
          <w:szCs w:val="28"/>
        </w:rPr>
        <w:t xml:space="preserve"> 539</w:t>
      </w:r>
      <w:r>
        <w:rPr>
          <w:sz w:val="28"/>
          <w:szCs w:val="28"/>
        </w:rPr>
        <w:t xml:space="preserve">,56</w:t>
      </w:r>
      <w:r>
        <w:rPr>
          <w:sz w:val="28"/>
          <w:szCs w:val="28"/>
        </w:rPr>
        <w:t xml:space="preserve"> тыс. рублей в соответствии с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аконом Приморского края от 19.12.2024 № 692-КЗ «О краевом бюджете на 2025 год и планов</w:t>
      </w:r>
      <w:r>
        <w:rPr>
          <w:sz w:val="28"/>
          <w:szCs w:val="28"/>
        </w:rPr>
        <w:t xml:space="preserve">ый период 2026 и 2027 годов»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center"/>
        <w:rPr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</w:rPr>
        <w:t xml:space="preserve">Объем межбюджетных трансфертов, получаемых  бюджетом Владивостокского городского округа в 2025 году из других бюджетов</w:t>
      </w:r>
      <w:r>
        <w:rPr>
          <w:bCs/>
          <w:color w:val="000000"/>
          <w:sz w:val="28"/>
          <w:szCs w:val="28"/>
        </w:rPr>
        <w:t xml:space="preserve"> бюджетной системы Российской Федерации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right"/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тыс</w:t>
      </w:r>
      <w:r>
        <w:rPr>
          <w:bCs/>
          <w:color w:val="000000"/>
          <w:sz w:val="28"/>
          <w:szCs w:val="28"/>
        </w:rPr>
        <w:t xml:space="preserve">.р</w:t>
      </w:r>
      <w:r>
        <w:rPr>
          <w:bCs/>
          <w:color w:val="000000"/>
          <w:sz w:val="28"/>
          <w:szCs w:val="28"/>
        </w:rPr>
        <w:t xml:space="preserve">ублей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5"/>
        <w:gridCol w:w="1701"/>
        <w:gridCol w:w="1701"/>
        <w:gridCol w:w="1562"/>
      </w:tblGrid>
      <w:tr>
        <w:tblPrEx/>
        <w:trPr>
          <w:trHeight w:val="34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5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Наименование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2025 год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695"/>
          <w:tblHeader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19</w:t>
            </w:r>
            <w:r>
              <w:rPr>
                <w:bCs/>
                <w:sz w:val="24"/>
                <w:szCs w:val="24"/>
                <w:highlight w:val="white"/>
                <w:lang w:val="ru-RU"/>
              </w:rPr>
              <w:t xml:space="preserve">1</w:t>
            </w:r>
            <w:r>
              <w:rPr>
                <w:bCs/>
                <w:sz w:val="24"/>
                <w:szCs w:val="24"/>
                <w:highlight w:val="white"/>
              </w:rPr>
              <w:t xml:space="preserve">-МПА от 01</w:t>
            </w:r>
            <w:r>
              <w:rPr>
                <w:bCs/>
                <w:sz w:val="24"/>
                <w:szCs w:val="24"/>
                <w:highlight w:val="white"/>
              </w:rPr>
              <w:t xml:space="preserve">.11</w:t>
            </w:r>
            <w:r>
              <w:rPr>
                <w:bCs/>
                <w:sz w:val="24"/>
                <w:szCs w:val="24"/>
                <w:highlight w:val="white"/>
              </w:rPr>
              <w:t xml:space="preserve">.2025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Проект бюджета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Отклонение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87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Всего межбюджетных трансфертов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20 011 415,43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19 811 539,56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</w:rPr>
              <w:t xml:space="preserve">-199 875,87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147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ные дотации местным бюджетам из краевого бюджета, источником финансового обеспечения которых являются межбюджетные трансферты в форме дотации (гранта) из федерального бюджета, в целях поощрения в 2025 году муниципальных управленческих команд Приморского кр</w:t>
            </w:r>
            <w:r>
              <w:rPr>
                <w:sz w:val="24"/>
                <w:szCs w:val="24"/>
              </w:rPr>
              <w:t xml:space="preserve">ая по итогам 2024 года)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</w:rPr>
              <w:t xml:space="preserve">6 370,40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6 370,40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Иные дотации для финансового обеспечения осуществления городом Владивостоком функций административного центра Приморского края 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1 051 797,00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1 057 681,54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14:ligatures w14:val="none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5 884,54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95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53 533,23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57 063,22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3 529,99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8 306,01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8 369,25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63,24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9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:lang w:val="ru-RU" w:bidi="ru-RU"/>
                <w14:ligatures w14:val="none"/>
              </w:rPr>
              <w:t xml:space="preserve">Единая субвенция бюджетам муниципальных образований Приморского края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32 885,72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33 117,99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232,27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Субвенции на осуществление органами местного самоуправления отдельных государственных полномочий по государственному управлению охраной труда 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6 104,74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6 148,75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44,01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9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225 554,64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216 486,13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-9 068,51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на реализацию мероприятий по обеспечению жильем молодых семей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137 980,39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137 296,20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-684,19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Субвенции на регистрацию и учет граждан имеющих право на получение жилищных субсидий в связи с переселением из районов Крайнего Севера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10,55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10,64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0,09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убвенции на осуществление отдельных государственных полномочий по установлению нормативов потребления твердого топлива (уголь, дрова, топливные брикеты), реализуемого гражданам, управляющим организациям, товариществам собственников жилья, жилищным, жилищно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-строительным или иным специализированным потребительским кооперативам, созданным в целях удовлетворения потребностей граждан в жилье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1,75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1,75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на с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офинансирование муниципальных программ по поддержке социально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ориентированных некоммерческих организаций по итогам конкурсного отбора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355,54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355,54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Субвенции бюджетам МО ПК на реализацию государственных полномочий органов опеки и попечительства в отношении  несовершеннолетних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49 595,50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49 950,32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354,82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4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163 651,19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131 935,67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-31 715,52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0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 на проектирование, строительство (реконструкция) автомобильных дорог общего пользования населенных пунктов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577 619,83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545 079,22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-32 540,61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 на капитальный ремонт и ремонт автомобильных дорог общего пользования населенных пунктов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261 500,00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267 377,35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5 877,35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02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color w:val="auto"/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color w:val="auto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none"/>
                <w14:ligatures w14:val="none"/>
              </w:rPr>
              <w:t xml:space="preserve">С</w:t>
            </w:r>
            <w:r>
              <w:rPr>
                <w:color w:val="auto"/>
                <w:sz w:val="24"/>
                <w:szCs w:val="24"/>
                <w:highlight w:val="none"/>
                <w14:ligatures w14:val="none"/>
              </w:rPr>
              <w:t xml:space="preserve">убсидии на реализацию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</w:t>
            </w:r>
            <w:r>
              <w:rPr>
                <w:color w:val="auto"/>
                <w:sz w:val="24"/>
                <w:szCs w:val="24"/>
                <w:highlight w:val="none"/>
                <w14:ligatures w14:val="none"/>
              </w:rPr>
              <w:t xml:space="preserve">ур, приобретение подвижного состава городского т</w:t>
            </w:r>
            <w:r>
              <w:rPr>
                <w:color w:val="auto"/>
                <w:sz w:val="24"/>
                <w:szCs w:val="24"/>
                <w:highlight w:val="none"/>
                <w14:ligatures w14:val="none"/>
              </w:rPr>
              <w:t xml:space="preserve">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  <w:r>
              <w:rPr>
                <w:color w:val="auto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907 995,74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1 103 205,73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195 209,99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на р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еализацию мероприятий, источником финансового обеспечения которых являются специальные казначейские кредиты из федерального бюджета (Капитальный ремонт объектов в историческом центре города)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129 142,14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129 142,14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135 474,21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285 474,21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150 000,00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1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на приобретение подвижного состава пассажирского транспорта по договору лизинга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294 037,92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275 848,21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-18 189,71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8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Субвенции на организацию транспортного обслуживания населения внеуличным транспортом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12,87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12,97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0,10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0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С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убвенции бюджетам муниципальных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ц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ню услуг по погребению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1 802,43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1 494,48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-307,95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на проведение ремонта здания филиала Национального центра</w:t>
            </w:r>
            <w:r/>
          </w:p>
          <w:p>
            <w:pPr>
              <w:contextualSpacing/>
              <w:ind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«Россия» в Приморском крае, расположенного по адресу:</w:t>
            </w:r>
            <w:r/>
          </w:p>
          <w:p>
            <w:pPr>
              <w:contextualSpacing/>
              <w:ind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г. Владивосток, ул. Батарейная, д.4, и благоустройства</w:t>
            </w:r>
            <w:r/>
          </w:p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прилегающей к зданию территории в целях созда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ния постоянно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contextualSpacing/>
              <w:ind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действующей экспозиции Национального ц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ентра «Россия»</w:t>
            </w:r>
            <w:r/>
          </w:p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(в части благоустройства)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255 102,04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555 102,04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</w:rPr>
              <w:t xml:space="preserve">300 000,00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  <w:lang w:val="ru-RU" w:bidi="ru-RU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убсидии на реализацию</w:t>
            </w:r>
            <w:r>
              <w:rPr>
                <w:sz w:val="24"/>
                <w:szCs w:val="24"/>
                <w:highlight w:val="none"/>
                <w:lang w:val="ru-RU" w:bidi="ru-RU"/>
                <w14:ligatures w14:val="none"/>
              </w:rPr>
              <w:t xml:space="preserve"> проектов инициативного бюджетирования по направлению "Твой проект"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12 105,59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12 064,71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-40,8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убсидии на реализацию 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здания "Матросского клуба" в г. Владивосток в целях создания ц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ентра креативных индустрий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676 181,73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67,55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-676 114,18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на реализацию 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помещения под дошкольное образовательное учреждение на 90 мест, расположенно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е в районе "Патрокл" (ул. Сочинская, 17 в г. Владивостоке)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201 387,14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201 387,14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на 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  <w:r/>
          </w:p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  <w:t xml:space="preserve">(Д/сад на 90 мест, расположенное в районе "Патрокл" (в г. Владивостоке ул. Басаргина, 2) 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</w:rPr>
              <w:t xml:space="preserve">180 000,00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-180 000,00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убсидии на реализацию</w:t>
            </w:r>
            <w:r>
              <w:rPr>
                <w:sz w:val="24"/>
                <w:szCs w:val="24"/>
                <w:highlight w:val="none"/>
                <w:lang w:val="ru-RU" w:bidi="ru-RU"/>
                <w14:ligatures w14:val="none"/>
              </w:rPr>
              <w:t xml:space="preserve"> проектов инициативного бюджетирования по направлению "Молодежный бюджет"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 w:firstLine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11 051,69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 w:firstLine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10 348,09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 w:firstLine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-703,60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убсидии на реализацию мероприятий планов социального развития центров экономического роста субъектов РФ, входящих в состав ДВ федерального округа (Создание и эксплуатация объекта образования "Школа на 1125 мест в районе ул. Русская, 73д в г. Владивостоке")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 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242 860,20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242 860,20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 Приморского края 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4 493 096,13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4 500 370,35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7 274,22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 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3 421 069,89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3 426 480,44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5 410,55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2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/>
          </w:tcPr>
          <w:p>
            <w:pPr>
              <w:contextualSpacing/>
              <w:ind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  <w:t xml:space="preserve">Субсидии на реализацию мероприятий по модернизации школьных систем образования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189 667,95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171 593,87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vMerge w:val="restart"/>
            <w:textDirection w:val="lrTb"/>
            <w:noWrap/>
          </w:tcPr>
          <w:p>
            <w:pPr>
              <w:contextualSpacing/>
              <w:ind w:right="0"/>
              <w:jc w:val="righ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-18 074,08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highlight w:val="none"/>
        </w:rPr>
        <w:t xml:space="preserve">3. Расходы.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highlight w:val="none"/>
        </w:rPr>
        <w:t xml:space="preserve">3.1. </w:t>
      </w:r>
      <w:r>
        <w:rPr>
          <w:sz w:val="28"/>
          <w:szCs w:val="28"/>
          <w:highlight w:val="none"/>
        </w:rPr>
        <w:t xml:space="preserve">В 2025 году</w:t>
      </w:r>
      <w:r>
        <w:rPr>
          <w:sz w:val="28"/>
          <w:szCs w:val="28"/>
          <w:highlight w:val="none"/>
        </w:rPr>
        <w:t xml:space="preserve">  расходная часть бюджета уменьшена </w:t>
      </w:r>
      <w:r>
        <w:rPr>
          <w:sz w:val="28"/>
          <w:szCs w:val="28"/>
          <w:highlight w:val="none"/>
        </w:rPr>
        <w:t xml:space="preserve">на сумму </w:t>
      </w:r>
      <w:r>
        <w:rPr>
          <w:sz w:val="28"/>
          <w:szCs w:val="28"/>
          <w:highlight w:val="none"/>
        </w:rPr>
        <w:t xml:space="preserve">114 875, 87 </w:t>
      </w:r>
      <w:r>
        <w:rPr>
          <w:sz w:val="28"/>
          <w:szCs w:val="28"/>
          <w:highlight w:val="none"/>
        </w:rPr>
        <w:t xml:space="preserve"> тыс</w:t>
      </w:r>
      <w:r>
        <w:rPr>
          <w:sz w:val="28"/>
          <w:szCs w:val="28"/>
          <w:highlight w:val="none"/>
        </w:rPr>
        <w:t xml:space="preserve">.р</w:t>
      </w:r>
      <w:r>
        <w:rPr>
          <w:sz w:val="28"/>
          <w:szCs w:val="28"/>
          <w:highlight w:val="none"/>
        </w:rPr>
        <w:t xml:space="preserve">ублей за счет: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- уменьшения</w:t>
      </w:r>
      <w:r>
        <w:rPr>
          <w:sz w:val="28"/>
          <w:szCs w:val="28"/>
          <w:highlight w:val="none"/>
        </w:rPr>
        <w:t xml:space="preserve"> объема безвозмездных поступлений на сумму </w:t>
      </w:r>
      <w:r>
        <w:rPr>
          <w:sz w:val="28"/>
          <w:szCs w:val="28"/>
          <w:highlight w:val="none"/>
        </w:rPr>
        <w:t xml:space="preserve">199 875,87 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тыс.рублей.</w:t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line="360" w:lineRule="auto"/>
        <w:rPr>
          <w:color w:val="000000" w:themeColor="text1"/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- увеличения налоговых и неналоговых доходов на сумму </w:t>
      </w:r>
      <w:r>
        <w:rPr>
          <w:sz w:val="28"/>
          <w:szCs w:val="28"/>
          <w:highlight w:val="none"/>
        </w:rPr>
        <w:t xml:space="preserve">85 000,00</w:t>
      </w:r>
      <w:r>
        <w:rPr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 тыс.рублей, в том числе </w:t>
      </w:r>
      <w:r>
        <w:rPr>
          <w:sz w:val="28"/>
          <w:szCs w:val="28"/>
          <w:highlight w:val="none"/>
        </w:rPr>
        <w:t xml:space="preserve">  экологических платежей текущего года на сумму 10 000,00 </w:t>
      </w:r>
      <w:r>
        <w:rPr>
          <w:sz w:val="28"/>
          <w:szCs w:val="28"/>
          <w:highlight w:val="none"/>
        </w:rPr>
        <w:t xml:space="preserve">тыс.рубл</w:t>
      </w:r>
      <w:r>
        <w:rPr>
          <w:color w:val="000000" w:themeColor="text1"/>
          <w:sz w:val="28"/>
          <w:szCs w:val="28"/>
          <w:highlight w:val="none"/>
        </w:rPr>
        <w:t xml:space="preserve">ей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non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3.2. За счет увеличения налоговых и неналоговых доходов (85 000,00 тыс.рублей) и перераспределения экономии  бюджетных ассигнований между ГРБС  (43 029,94 тыс.рублей)  предусмотрено увеличение  бюджетных ассигнований в 2025 году  на следующие мероприятия: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right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тыс.рублей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8470"/>
      </w:tblGrid>
      <w:tr>
        <w:tblPrEx/>
        <w:trPr>
          <w:trHeight w:val="299"/>
          <w:tblHeader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Мероприятие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21 488,87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финансового резерва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24 101,58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соблюдения доли софинансирования субсидий из краевого бюджета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21 186,78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Реконструкция сетей наружного освещения (Снеговая падь)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19 340,00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 финансовое оздоровление МУП «Центральный» в связи с введением процедуры банкротства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right"/>
              <w:rPr>
                <w:highlight w:val="none"/>
              </w:rPr>
            </w:pPr>
            <w:r>
              <w:rPr>
                <w:sz w:val="24"/>
                <w:szCs w:val="24"/>
              </w:rPr>
              <w:t xml:space="preserve">10 500,00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мероприятия по монтажу </w:t>
            </w:r>
            <w:r>
              <w:rPr>
                <w:sz w:val="24"/>
                <w:szCs w:val="24"/>
              </w:rPr>
              <w:t xml:space="preserve">новогодней  иллюминация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9 993,00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 проведение мероприятий по увековечиванию памяти участников специальной военной операции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8 467,80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проведение аварийно-восстановительных работ по устранению порывов на тепловых сетях в рамках исполнения решений ЧС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(Верхнепортовая 44, Океанский проспект 98, Пологая 65)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4 118,07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Продление лицензии на право использования программного обеспечения, в целях обеспечения функционирования информационных систем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2 924,78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мероприятия по </w:t>
            </w:r>
            <w:r>
              <w:rPr>
                <w:sz w:val="24"/>
                <w:szCs w:val="24"/>
              </w:rPr>
              <w:t xml:space="preserve">содержанию контейнерных площадок (за счет природоохранных платежей  платежей)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2 482,76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ind w:left="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Выплата денежных средств победителям премии: «</w:t>
            </w:r>
            <w:r>
              <w:rPr>
                <w:sz w:val="24"/>
                <w:szCs w:val="24"/>
              </w:rPr>
              <w:t xml:space="preserve">Есть за что», </w:t>
            </w:r>
            <w:r>
              <w:rPr>
                <w:sz w:val="24"/>
                <w:szCs w:val="24"/>
              </w:rPr>
              <w:t xml:space="preserve"> «Доброволец года», а также проведение иных молодежных мероприятий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2 371,3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 выплату муниципальной доплаты к пенсии а связи с индексацией окладов на 7,6% с 01.10.2025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62"/>
        </w:trPr>
        <w:tc>
          <w:tcPr>
            <w:tcW w:w="1383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1 000,00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0" w:type="dxa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 мероприятия по изготовлению и монтажу букв из ПВХ на арках в сквере Городов-побратимов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1383" w:type="dxa"/>
            <w:vMerge w:val="restart"/>
            <w:textDirection w:val="lrTb"/>
            <w:noWrap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128 029,94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470" w:type="dxa"/>
            <w:vMerge w:val="restart"/>
            <w:textDirection w:val="lrTb"/>
            <w:noWrap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Проектом предусмотрено увеличение доходной части бюджета </w:t>
      </w:r>
      <w:r>
        <w:rPr>
          <w:sz w:val="28"/>
          <w:szCs w:val="28"/>
          <w:highlight w:val="none"/>
        </w:rPr>
        <w:t xml:space="preserve">за счет уточнения поступлений </w:t>
      </w:r>
      <w:r>
        <w:rPr>
          <w:sz w:val="28"/>
          <w:szCs w:val="28"/>
          <w:highlight w:val="none"/>
        </w:rPr>
        <w:t xml:space="preserve"> от </w:t>
      </w:r>
      <w:r>
        <w:rPr>
          <w:sz w:val="28"/>
          <w:szCs w:val="28"/>
          <w:highlight w:val="none"/>
          <w:lang w:eastAsia="zh-CN"/>
        </w:rPr>
        <w:t xml:space="preserve">доходов за счет</w:t>
      </w:r>
      <w:r>
        <w:rPr>
          <w:sz w:val="28"/>
          <w:szCs w:val="28"/>
          <w:highlight w:val="none"/>
        </w:rPr>
        <w:t xml:space="preserve"> платы за негативное воздействие на окружающую среду (далее – окрашенные платежи)</w:t>
      </w:r>
      <w:r>
        <w:rPr>
          <w:sz w:val="28"/>
          <w:szCs w:val="28"/>
          <w:highlight w:val="none"/>
        </w:rPr>
        <w:t xml:space="preserve"> на сумму </w:t>
      </w:r>
      <w:r>
        <w:rPr>
          <w:sz w:val="28"/>
          <w:szCs w:val="28"/>
          <w:highlight w:val="none"/>
        </w:rPr>
        <w:t xml:space="preserve">10 000,00 тыс.рублей.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 В рамках исполнения положений Федерального закона от 10.01.2002 № 7-ФЗ «Об охране окружающей среды» (далее - 7-ФЗ)</w:t>
      </w:r>
      <w:r>
        <w:rPr>
          <w:sz w:val="28"/>
          <w:szCs w:val="28"/>
          <w:highlight w:val="none"/>
        </w:rPr>
        <w:t xml:space="preserve"> проект предусматривает у</w:t>
      </w:r>
      <w:r>
        <w:rPr>
          <w:sz w:val="28"/>
          <w:szCs w:val="28"/>
          <w:highlight w:val="none"/>
        </w:rPr>
        <w:t xml:space="preserve">велич</w:t>
      </w:r>
      <w:r>
        <w:rPr>
          <w:sz w:val="28"/>
          <w:szCs w:val="28"/>
          <w:highlight w:val="none"/>
        </w:rPr>
        <w:t xml:space="preserve">ение расходной части бюджета на осуществление природоохранных мероприятий в сумме 2 924,78 тыс.рублей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  <w:t xml:space="preserve"> 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Увеличение расходов на реализацию природоохранных мероприятий на сумму 10 000,00 тыс.рублей в настоящее время нецелесообразно, так как в силу</w:t>
      </w:r>
      <w:r>
        <w:rPr>
          <w:rFonts w:eastAsia="Calibri"/>
          <w:sz w:val="28"/>
          <w:szCs w:val="28"/>
          <w:highlight w:val="none"/>
          <w:lang w:eastAsia="en-US"/>
        </w:rPr>
        <w:t xml:space="preserve"> длительности проведения конкурсных процедур дополнительные мероприятия не будут реализованы до конца текущего финансового года.</w:t>
      </w: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rFonts w:eastAsia="Calibri"/>
          <w:sz w:val="28"/>
          <w:szCs w:val="28"/>
          <w:highlight w:val="none"/>
          <w:lang w:eastAsia="en-US"/>
        </w:rPr>
      </w:r>
    </w:p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В настоящий момент остаток окрашенных платежей будет аккумулирован  в финансовом резерве.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В соответствии с требованиями 7-ФЗ за счет остатков поступлений доходов от окрашенных п</w:t>
      </w:r>
      <w:r>
        <w:rPr>
          <w:rFonts w:eastAsia="Calibri"/>
          <w:sz w:val="28"/>
          <w:szCs w:val="28"/>
          <w:highlight w:val="none"/>
          <w:lang w:eastAsia="en-US"/>
        </w:rPr>
        <w:t xml:space="preserve">латежей  на едином счете бюджета по состоянию  на 01.01.2025 в очередном 2026 финансовом году будут увеличены бюджетные ассигнования на реализацию природоохранных мероприятий</w:t>
      </w:r>
      <w:r>
        <w:rPr>
          <w:rFonts w:eastAsia="Calibri"/>
          <w:sz w:val="28"/>
          <w:szCs w:val="28"/>
          <w:highlight w:val="none"/>
          <w:lang w:eastAsia="en-US"/>
        </w:rPr>
        <w:t xml:space="preserve">. 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В связи с корректировкой доходов и расходов бюджета Владивостокского гор</w:t>
      </w:r>
      <w:r>
        <w:rPr>
          <w:rFonts w:eastAsia="Calibri"/>
          <w:sz w:val="28"/>
          <w:szCs w:val="28"/>
          <w:lang w:eastAsia="en-US"/>
        </w:rPr>
        <w:t xml:space="preserve">о</w:t>
      </w:r>
      <w:r>
        <w:rPr>
          <w:rFonts w:eastAsia="Calibri"/>
          <w:sz w:val="28"/>
          <w:szCs w:val="28"/>
          <w:lang w:eastAsia="en-US"/>
        </w:rPr>
        <w:t xml:space="preserve">дского округа внесены изменения в текстовую часть и табличные приложения муниципального правового акта города Владивостока от 17.12.2024 № 145-МПА «О бюджете Владивостокского городского округа на 2025 год и плановый период 2026 и 2027 годов» (далее - МПА).</w:t>
      </w: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rFonts w:eastAsia="Calibri"/>
          <w:sz w:val="28"/>
          <w:szCs w:val="28"/>
          <w:highlight w:val="none"/>
          <w:lang w:eastAsia="en-US"/>
        </w:rPr>
      </w:r>
    </w:p>
    <w:p>
      <w:pPr>
        <w:pStyle w:val="923"/>
        <w:contextualSpacing/>
        <w:ind w:firstLine="709"/>
        <w:jc w:val="both"/>
        <w:spacing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целях заключения соглашений о финансовом обеспечении затрат, связанных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 оказанием муниципальных услуг в социальной сфере, с индивидуальными предпринимателями, не являющимися муниципальными учреждениями,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соответствии с Федеральным законом от 13.07.2020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№ 189-ФЗ «О государственном (муниципальном) социальном заказе на оказание государственных (муниципальных) услуг в социальной сфере» 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ункт 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текстовой части МПА дополнен подпунктом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14.32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следующего содержания: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pStyle w:val="923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«14.32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Финансового обеспечения затрат, возникающих в связи с оказанием муниципальных услу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на территории Владивостокского городского округа.»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связи с доведением бюджету города Владивостока дополнительных средств субсидий из краевого бюджета на мероприятия по обустройству туристкого центра города подпункт 14.27 пункта 14 текстовой части МПА изложен в следующей редакции:</w:t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«14.27. Финансового обеспечения затрат по размещению архитектурной подсветки в рамках реализации мероприятий в соответствии с туристическим колом центра города.».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Изложены в новой редакции следующие приложения к МПА: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- приложение 1 «Источники внутреннего финансирования дефицита бюджета Владивостокского городского округа на 2025 год и плановый период 2026 и 2027 годов» (приложение 1);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contextualSpacing/>
        <w:ind w:firstLine="720"/>
        <w:jc w:val="both"/>
        <w:spacing w:line="360" w:lineRule="auto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приложение 2 «</w:t>
      </w:r>
      <w:hyperlink r:id="rId11" w:tooltip="https://login.consultant.ru/link/?req=doc&amp;base=RLAW020&amp;n=199701&amp;dst=100288" w:history="1">
        <w:r>
          <w:rPr>
            <w:sz w:val="28"/>
            <w:szCs w:val="28"/>
          </w:rPr>
          <w:t xml:space="preserve">Объем</w:t>
        </w:r>
      </w:hyperlink>
      <w:r>
        <w:rPr>
          <w:sz w:val="28"/>
          <w:szCs w:val="28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2025 год и плановый период 2026 и 2027 годов» изложить в новой редакции </w:t>
      </w:r>
      <w:hyperlink r:id="rId12" w:tooltip="https://login.consultant.ru/link/?req=doc&amp;base=RLAW020&amp;n=201859&amp;dst=100049" w:history="1">
        <w:r>
          <w:rPr>
            <w:sz w:val="28"/>
            <w:szCs w:val="28"/>
          </w:rPr>
          <w:t xml:space="preserve">(приложение 2)</w:t>
        </w:r>
      </w:hyperlink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right="-1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приложение 3 «Распределение бюджетных ассигнований в ведомственной структуре расходов бюджета Владивостокского городского округа на 2025 год и плановый период 2026 и 2027 годов» (приложение 3);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right="-1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приложение 4 «Распределение бюджетных ассигнований из бюджета Владивостокского городского округа по разделам, подразделам, целевым статьям (муниципальным программам и </w:t>
      </w:r>
      <w:r>
        <w:rPr>
          <w:sz w:val="28"/>
          <w:szCs w:val="28"/>
        </w:rPr>
        <w:t xml:space="preserve">непрограммным</w:t>
      </w:r>
      <w:r>
        <w:rPr>
          <w:sz w:val="28"/>
          <w:szCs w:val="28"/>
        </w:rPr>
        <w:t xml:space="preserve"> направлениям деятельности), группам </w:t>
      </w:r>
      <w:r>
        <w:rPr>
          <w:sz w:val="28"/>
          <w:szCs w:val="28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</w:rPr>
        <w:t xml:space="preserve"> на 2025 год и плановый период 2026 и 2027 годов» (приложение 4);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right="-1"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приложение 5 «Распределение бюджетных ассигнований из бюджета Владивостокского городского округа по целевым статьям (муниципальным программам и </w:t>
      </w:r>
      <w:r>
        <w:rPr>
          <w:sz w:val="28"/>
          <w:szCs w:val="28"/>
        </w:rPr>
        <w:t xml:space="preserve">непрограммным</w:t>
      </w:r>
      <w:r>
        <w:rPr>
          <w:sz w:val="28"/>
          <w:szCs w:val="28"/>
        </w:rPr>
        <w:t xml:space="preserve"> направлениям деятельности), группам </w:t>
      </w:r>
      <w:r>
        <w:rPr>
          <w:sz w:val="28"/>
          <w:szCs w:val="28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</w:rPr>
        <w:t xml:space="preserve"> на 2025 год и плановый период 2026 и 2027 годов» (приложение 5);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приложение 8 «Бюджет муниципального дорожного фонда Владивостокского городского округа на 2025 год и плановый период 2026 и 2027 годов» (приложение 6);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 приложение 9 «</w:t>
      </w:r>
      <w:r>
        <w:rPr>
          <w:color w:val="000000"/>
          <w:sz w:val="28"/>
          <w:szCs w:val="28"/>
          <w:highlight w:val="none"/>
        </w:rPr>
        <w:t xml:space="preserve">Объем бюджетных ассигнований на исполнение публичных нормативных обязатель</w:t>
      </w:r>
      <w:r>
        <w:rPr>
          <w:color w:val="000000"/>
          <w:sz w:val="28"/>
          <w:szCs w:val="28"/>
          <w:highlight w:val="none"/>
        </w:rPr>
        <w:t xml:space="preserve">ств Вл</w:t>
      </w:r>
      <w:r>
        <w:rPr>
          <w:color w:val="000000"/>
          <w:sz w:val="28"/>
          <w:szCs w:val="28"/>
          <w:highlight w:val="none"/>
        </w:rPr>
        <w:t xml:space="preserve">адивостокского городского округа на 2025 год и </w:t>
      </w:r>
      <w:r>
        <w:rPr>
          <w:sz w:val="28"/>
          <w:szCs w:val="28"/>
          <w:highlight w:val="none"/>
        </w:rPr>
        <w:t xml:space="preserve">плановый период 2026 и 2027 годов» (приложение 7).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03"/>
        <w:ind w:right="-58" w:firstLine="709"/>
        <w:spacing w:line="360" w:lineRule="auto"/>
        <w:widowControl w:val="off"/>
        <w:rPr>
          <w:szCs w:val="28"/>
          <w:lang w:val="ru-RU"/>
        </w:rPr>
      </w:pPr>
      <w:r>
        <w:rPr>
          <w:szCs w:val="28"/>
          <w:lang w:val="ru-RU"/>
        </w:rPr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903"/>
        <w:ind w:right="-58" w:firstLine="709"/>
        <w:spacing w:line="360" w:lineRule="auto"/>
        <w:widowControl w:val="off"/>
        <w:rPr>
          <w:szCs w:val="28"/>
          <w:lang w:val="ru-RU"/>
        </w:rPr>
      </w:pPr>
      <w:r>
        <w:rPr>
          <w:szCs w:val="28"/>
          <w:lang w:val="ru-RU"/>
        </w:rPr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firstLine="0"/>
        <w:jc w:val="left"/>
        <w:rPr>
          <w:lang w:val="ru-RU"/>
        </w:rPr>
      </w:pPr>
      <w:r>
        <w:rPr>
          <w:lang w:val="ru-RU"/>
        </w:rPr>
        <w:t xml:space="preserve">Первый заместитель главы администрации                                 С.М. Дмитриенко </w:t>
      </w:r>
      <w:r>
        <w:rPr>
          <w:lang w:val="ru-RU"/>
        </w:rPr>
      </w:r>
      <w:r>
        <w:rPr>
          <w:lang w:val="ru-RU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1" w:bottom="1077" w:left="1418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12</w:t>
    </w:r>
    <w:r>
      <w:fldChar w:fldCharType="end"/>
    </w:r>
    <w:r/>
  </w:p>
  <w:p>
    <w:pPr>
      <w:pStyle w:val="901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end"/>
    </w:r>
    <w:r>
      <w:rPr>
        <w:rStyle w:val="904"/>
      </w:rPr>
    </w:r>
    <w:r>
      <w:rPr>
        <w:rStyle w:val="904"/>
      </w:rPr>
    </w:r>
  </w:p>
  <w:p>
    <w:pPr>
      <w:pStyle w:val="90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Subtitle Char"/>
    <w:basedOn w:val="719"/>
    <w:link w:val="744"/>
    <w:uiPriority w:val="11"/>
    <w:rPr>
      <w:sz w:val="24"/>
      <w:szCs w:val="24"/>
    </w:rPr>
  </w:style>
  <w:style w:type="character" w:styleId="713">
    <w:name w:val="Quote Char"/>
    <w:link w:val="746"/>
    <w:uiPriority w:val="29"/>
    <w:rPr>
      <w:i/>
    </w:rPr>
  </w:style>
  <w:style w:type="character" w:styleId="714">
    <w:name w:val="Intense Quote Char"/>
    <w:link w:val="748"/>
    <w:uiPriority w:val="30"/>
    <w:rPr>
      <w:i/>
    </w:rPr>
  </w:style>
  <w:style w:type="character" w:styleId="715">
    <w:name w:val="Footnote Text Char"/>
    <w:link w:val="883"/>
    <w:uiPriority w:val="99"/>
    <w:rPr>
      <w:sz w:val="18"/>
    </w:rPr>
  </w:style>
  <w:style w:type="character" w:styleId="716">
    <w:name w:val="Endnote Text Char"/>
    <w:link w:val="886"/>
    <w:uiPriority w:val="99"/>
    <w:rPr>
      <w:sz w:val="20"/>
    </w:rPr>
  </w:style>
  <w:style w:type="paragraph" w:styleId="717" w:default="1">
    <w:name w:val="Normal"/>
    <w:qFormat/>
    <w:rPr>
      <w:lang w:eastAsia="ru-RU"/>
    </w:rPr>
  </w:style>
  <w:style w:type="paragraph" w:styleId="718">
    <w:name w:val="Heading 1"/>
    <w:basedOn w:val="717"/>
    <w:next w:val="717"/>
    <w:link w:val="918"/>
    <w:qFormat/>
    <w:pPr>
      <w:jc w:val="both"/>
      <w:keepNext/>
      <w:spacing w:line="360" w:lineRule="auto"/>
      <w:outlineLvl w:val="0"/>
    </w:pPr>
    <w:rPr>
      <w:sz w:val="28"/>
      <w:lang w:val="en-US" w:eastAsia="en-US"/>
    </w:r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paragraph" w:styleId="722" w:customStyle="1">
    <w:name w:val="Heading 1"/>
    <w:basedOn w:val="717"/>
    <w:next w:val="717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 w:customStyle="1">
    <w:name w:val="Heading 1 Char"/>
    <w:link w:val="722"/>
    <w:uiPriority w:val="9"/>
    <w:rPr>
      <w:rFonts w:ascii="Arial" w:hAnsi="Arial" w:eastAsia="Arial" w:cs="Arial"/>
      <w:sz w:val="40"/>
      <w:szCs w:val="40"/>
    </w:rPr>
  </w:style>
  <w:style w:type="paragraph" w:styleId="724" w:customStyle="1">
    <w:name w:val="Heading 2"/>
    <w:basedOn w:val="717"/>
    <w:next w:val="717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 w:customStyle="1">
    <w:name w:val="Heading 2 Char"/>
    <w:link w:val="724"/>
    <w:uiPriority w:val="9"/>
    <w:rPr>
      <w:rFonts w:ascii="Arial" w:hAnsi="Arial" w:eastAsia="Arial" w:cs="Arial"/>
      <w:sz w:val="34"/>
    </w:rPr>
  </w:style>
  <w:style w:type="paragraph" w:styleId="726" w:customStyle="1">
    <w:name w:val="Heading 3"/>
    <w:basedOn w:val="717"/>
    <w:next w:val="717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 w:customStyle="1">
    <w:name w:val="Heading 3 Char"/>
    <w:link w:val="726"/>
    <w:uiPriority w:val="9"/>
    <w:rPr>
      <w:rFonts w:ascii="Arial" w:hAnsi="Arial" w:eastAsia="Arial" w:cs="Arial"/>
      <w:sz w:val="30"/>
      <w:szCs w:val="30"/>
    </w:rPr>
  </w:style>
  <w:style w:type="paragraph" w:styleId="728" w:customStyle="1">
    <w:name w:val="Heading 4"/>
    <w:basedOn w:val="717"/>
    <w:next w:val="717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Heading 4 Char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 w:customStyle="1">
    <w:name w:val="Heading 5"/>
    <w:basedOn w:val="717"/>
    <w:next w:val="717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Heading 5 Char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 w:customStyle="1">
    <w:name w:val="Heading 6"/>
    <w:basedOn w:val="717"/>
    <w:next w:val="717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 w:customStyle="1">
    <w:name w:val="Heading 6 Char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 w:customStyle="1">
    <w:name w:val="Heading 7"/>
    <w:basedOn w:val="717"/>
    <w:next w:val="717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Heading 7 Char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 w:customStyle="1">
    <w:name w:val="Heading 8"/>
    <w:basedOn w:val="717"/>
    <w:next w:val="717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 w:customStyle="1">
    <w:name w:val="Heading 8 Char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 w:customStyle="1">
    <w:name w:val="Heading 9"/>
    <w:basedOn w:val="717"/>
    <w:next w:val="717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 w:customStyle="1">
    <w:name w:val="Heading 9 Char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717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741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742">
    <w:name w:val="Title"/>
    <w:basedOn w:val="717"/>
    <w:link w:val="911"/>
    <w:qFormat/>
    <w:pPr>
      <w:jc w:val="center"/>
    </w:pPr>
    <w:rPr>
      <w:b/>
      <w:sz w:val="28"/>
      <w:lang w:val="en-US" w:eastAsia="en-US"/>
    </w:rPr>
  </w:style>
  <w:style w:type="character" w:styleId="743" w:customStyle="1">
    <w:name w:val="Title Char"/>
    <w:link w:val="742"/>
    <w:uiPriority w:val="10"/>
    <w:rPr>
      <w:sz w:val="48"/>
      <w:szCs w:val="48"/>
    </w:rPr>
  </w:style>
  <w:style w:type="paragraph" w:styleId="744">
    <w:name w:val="Subtitle"/>
    <w:basedOn w:val="717"/>
    <w:next w:val="717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 w:customStyle="1">
    <w:name w:val="Подзаголовок Знак"/>
    <w:link w:val="744"/>
    <w:uiPriority w:val="11"/>
    <w:rPr>
      <w:sz w:val="24"/>
      <w:szCs w:val="24"/>
    </w:rPr>
  </w:style>
  <w:style w:type="paragraph" w:styleId="746">
    <w:name w:val="Quote"/>
    <w:basedOn w:val="717"/>
    <w:next w:val="717"/>
    <w:link w:val="747"/>
    <w:uiPriority w:val="29"/>
    <w:qFormat/>
    <w:pPr>
      <w:ind w:left="720" w:right="720"/>
    </w:pPr>
    <w:rPr>
      <w:i/>
    </w:rPr>
  </w:style>
  <w:style w:type="character" w:styleId="747" w:customStyle="1">
    <w:name w:val="Цитата 2 Знак"/>
    <w:link w:val="746"/>
    <w:uiPriority w:val="29"/>
    <w:rPr>
      <w:i/>
    </w:rPr>
  </w:style>
  <w:style w:type="paragraph" w:styleId="748">
    <w:name w:val="Intense Quote"/>
    <w:basedOn w:val="717"/>
    <w:next w:val="717"/>
    <w:link w:val="74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 w:customStyle="1">
    <w:name w:val="Выделенная цитата Знак"/>
    <w:link w:val="748"/>
    <w:uiPriority w:val="30"/>
    <w:rPr>
      <w:i/>
    </w:rPr>
  </w:style>
  <w:style w:type="paragraph" w:styleId="750" w:customStyle="1">
    <w:name w:val="Header"/>
    <w:basedOn w:val="717"/>
    <w:link w:val="75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1" w:customStyle="1">
    <w:name w:val="Header Char"/>
    <w:link w:val="750"/>
    <w:uiPriority w:val="99"/>
  </w:style>
  <w:style w:type="paragraph" w:styleId="752" w:customStyle="1">
    <w:name w:val="Footer"/>
    <w:basedOn w:val="717"/>
    <w:link w:val="75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3" w:customStyle="1">
    <w:name w:val="Footer Char"/>
    <w:link w:val="752"/>
    <w:uiPriority w:val="99"/>
  </w:style>
  <w:style w:type="paragraph" w:styleId="754" w:customStyle="1">
    <w:name w:val="Caption"/>
    <w:basedOn w:val="717"/>
    <w:next w:val="717"/>
    <w:link w:val="7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5" w:customStyle="1">
    <w:name w:val="Caption Char"/>
    <w:link w:val="752"/>
    <w:uiPriority w:val="99"/>
  </w:style>
  <w:style w:type="table" w:styleId="756">
    <w:name w:val="Table Grid"/>
    <w:basedOn w:val="720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7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6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7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8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9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0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1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9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0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1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2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3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4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5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6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4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2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3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4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5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6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7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8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9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0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1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2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3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4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5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6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7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8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9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0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1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2">
    <w:name w:val="Hyperlink"/>
    <w:uiPriority w:val="99"/>
    <w:unhideWhenUsed/>
    <w:rPr>
      <w:color w:val="0000ff" w:themeColor="hyperlink"/>
      <w:u w:val="single"/>
    </w:rPr>
  </w:style>
  <w:style w:type="paragraph" w:styleId="883">
    <w:name w:val="footnote text"/>
    <w:basedOn w:val="717"/>
    <w:link w:val="884"/>
    <w:uiPriority w:val="99"/>
    <w:semiHidden/>
    <w:unhideWhenUsed/>
    <w:pPr>
      <w:spacing w:after="40"/>
    </w:pPr>
    <w:rPr>
      <w:sz w:val="18"/>
    </w:rPr>
  </w:style>
  <w:style w:type="character" w:styleId="884" w:customStyle="1">
    <w:name w:val="Текст сноски Знак"/>
    <w:link w:val="883"/>
    <w:uiPriority w:val="99"/>
    <w:rPr>
      <w:sz w:val="18"/>
    </w:rPr>
  </w:style>
  <w:style w:type="character" w:styleId="885">
    <w:name w:val="footnote reference"/>
    <w:uiPriority w:val="99"/>
    <w:unhideWhenUsed/>
    <w:rPr>
      <w:vertAlign w:val="superscript"/>
    </w:rPr>
  </w:style>
  <w:style w:type="paragraph" w:styleId="886">
    <w:name w:val="endnote text"/>
    <w:basedOn w:val="717"/>
    <w:link w:val="887"/>
    <w:uiPriority w:val="99"/>
    <w:semiHidden/>
    <w:unhideWhenUsed/>
  </w:style>
  <w:style w:type="character" w:styleId="887" w:customStyle="1">
    <w:name w:val="Текст концевой сноски Знак"/>
    <w:link w:val="886"/>
    <w:uiPriority w:val="99"/>
    <w:rPr>
      <w:sz w:val="20"/>
    </w:rPr>
  </w:style>
  <w:style w:type="character" w:styleId="888">
    <w:name w:val="endnote reference"/>
    <w:uiPriority w:val="99"/>
    <w:semiHidden/>
    <w:unhideWhenUsed/>
    <w:rPr>
      <w:vertAlign w:val="superscript"/>
    </w:rPr>
  </w:style>
  <w:style w:type="paragraph" w:styleId="889">
    <w:name w:val="toc 1"/>
    <w:basedOn w:val="717"/>
    <w:next w:val="717"/>
    <w:uiPriority w:val="39"/>
    <w:unhideWhenUsed/>
    <w:pPr>
      <w:spacing w:after="57"/>
    </w:pPr>
  </w:style>
  <w:style w:type="paragraph" w:styleId="890">
    <w:name w:val="toc 2"/>
    <w:basedOn w:val="717"/>
    <w:next w:val="717"/>
    <w:uiPriority w:val="39"/>
    <w:unhideWhenUsed/>
    <w:pPr>
      <w:ind w:left="283"/>
      <w:spacing w:after="57"/>
    </w:pPr>
  </w:style>
  <w:style w:type="paragraph" w:styleId="891">
    <w:name w:val="toc 3"/>
    <w:basedOn w:val="717"/>
    <w:next w:val="717"/>
    <w:uiPriority w:val="39"/>
    <w:unhideWhenUsed/>
    <w:pPr>
      <w:ind w:left="567"/>
      <w:spacing w:after="57"/>
    </w:pPr>
  </w:style>
  <w:style w:type="paragraph" w:styleId="892">
    <w:name w:val="toc 4"/>
    <w:basedOn w:val="717"/>
    <w:next w:val="717"/>
    <w:uiPriority w:val="39"/>
    <w:unhideWhenUsed/>
    <w:pPr>
      <w:ind w:left="850"/>
      <w:spacing w:after="57"/>
    </w:pPr>
  </w:style>
  <w:style w:type="paragraph" w:styleId="893">
    <w:name w:val="toc 5"/>
    <w:basedOn w:val="717"/>
    <w:next w:val="717"/>
    <w:uiPriority w:val="39"/>
    <w:unhideWhenUsed/>
    <w:pPr>
      <w:ind w:left="1134"/>
      <w:spacing w:after="57"/>
    </w:pPr>
  </w:style>
  <w:style w:type="paragraph" w:styleId="894">
    <w:name w:val="toc 6"/>
    <w:basedOn w:val="717"/>
    <w:next w:val="717"/>
    <w:uiPriority w:val="39"/>
    <w:unhideWhenUsed/>
    <w:pPr>
      <w:ind w:left="1417"/>
      <w:spacing w:after="57"/>
    </w:pPr>
  </w:style>
  <w:style w:type="paragraph" w:styleId="895">
    <w:name w:val="toc 7"/>
    <w:basedOn w:val="717"/>
    <w:next w:val="717"/>
    <w:uiPriority w:val="39"/>
    <w:unhideWhenUsed/>
    <w:pPr>
      <w:ind w:left="1701"/>
      <w:spacing w:after="57"/>
    </w:pPr>
  </w:style>
  <w:style w:type="paragraph" w:styleId="896">
    <w:name w:val="toc 8"/>
    <w:basedOn w:val="717"/>
    <w:next w:val="717"/>
    <w:uiPriority w:val="39"/>
    <w:unhideWhenUsed/>
    <w:pPr>
      <w:ind w:left="1984"/>
      <w:spacing w:after="57"/>
    </w:pPr>
  </w:style>
  <w:style w:type="paragraph" w:styleId="897">
    <w:name w:val="toc 9"/>
    <w:basedOn w:val="717"/>
    <w:next w:val="717"/>
    <w:uiPriority w:val="39"/>
    <w:unhideWhenUsed/>
    <w:pPr>
      <w:ind w:left="2268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717"/>
    <w:next w:val="717"/>
    <w:uiPriority w:val="99"/>
    <w:unhideWhenUsed/>
  </w:style>
  <w:style w:type="paragraph" w:styleId="900">
    <w:name w:val="Body Text"/>
    <w:basedOn w:val="717"/>
    <w:link w:val="915"/>
    <w:rPr>
      <w:sz w:val="28"/>
      <w:lang w:val="en-US" w:eastAsia="en-US"/>
    </w:rPr>
  </w:style>
  <w:style w:type="paragraph" w:styleId="901">
    <w:name w:val="Header"/>
    <w:basedOn w:val="717"/>
    <w:link w:val="910"/>
    <w:uiPriority w:val="99"/>
    <w:pPr>
      <w:tabs>
        <w:tab w:val="center" w:pos="4153" w:leader="none"/>
        <w:tab w:val="right" w:pos="8306" w:leader="none"/>
      </w:tabs>
    </w:pPr>
  </w:style>
  <w:style w:type="paragraph" w:styleId="902">
    <w:name w:val="Footer"/>
    <w:basedOn w:val="717"/>
    <w:pPr>
      <w:tabs>
        <w:tab w:val="center" w:pos="4153" w:leader="none"/>
        <w:tab w:val="right" w:pos="8306" w:leader="none"/>
      </w:tabs>
    </w:pPr>
  </w:style>
  <w:style w:type="paragraph" w:styleId="903">
    <w:name w:val="Body Text Indent"/>
    <w:basedOn w:val="717"/>
    <w:link w:val="912"/>
    <w:pPr>
      <w:ind w:firstLine="851"/>
      <w:jc w:val="both"/>
    </w:pPr>
    <w:rPr>
      <w:sz w:val="28"/>
      <w:lang w:val="en-US" w:eastAsia="en-US"/>
    </w:rPr>
  </w:style>
  <w:style w:type="character" w:styleId="904">
    <w:name w:val="page number"/>
    <w:basedOn w:val="719"/>
  </w:style>
  <w:style w:type="paragraph" w:styleId="905">
    <w:name w:val="Balloon Text"/>
    <w:basedOn w:val="717"/>
    <w:semiHidden/>
    <w:rPr>
      <w:rFonts w:ascii="Tahoma" w:hAnsi="Tahoma" w:cs="Tahoma"/>
      <w:sz w:val="16"/>
      <w:szCs w:val="16"/>
    </w:rPr>
  </w:style>
  <w:style w:type="paragraph" w:styleId="906">
    <w:name w:val="Body Text Indent 2"/>
    <w:basedOn w:val="717"/>
    <w:pPr>
      <w:ind w:left="283"/>
      <w:spacing w:after="120" w:line="480" w:lineRule="auto"/>
    </w:pPr>
  </w:style>
  <w:style w:type="paragraph" w:styleId="907" w:customStyle="1">
    <w:name w:val="ConsPlusNonformat"/>
    <w:uiPriority w:val="99"/>
    <w:pPr>
      <w:widowControl w:val="off"/>
    </w:pPr>
    <w:rPr>
      <w:rFonts w:ascii="Courier New" w:hAnsi="Courier New" w:cs="Courier New"/>
      <w:lang w:eastAsia="ru-RU"/>
    </w:rPr>
  </w:style>
  <w:style w:type="paragraph" w:styleId="908" w:customStyle="1">
    <w:name w:val="ConsNormal"/>
    <w:pPr>
      <w:ind w:right="19772" w:firstLine="720"/>
      <w:widowControl w:val="off"/>
    </w:pPr>
    <w:rPr>
      <w:rFonts w:ascii="Arial" w:hAnsi="Arial"/>
      <w:lang w:eastAsia="ru-RU"/>
    </w:rPr>
  </w:style>
  <w:style w:type="paragraph" w:styleId="909">
    <w:name w:val="Body Text Indent 3"/>
    <w:basedOn w:val="717"/>
    <w:link w:val="925"/>
    <w:uiPriority w:val="99"/>
    <w:pPr>
      <w:ind w:left="283"/>
      <w:spacing w:after="120"/>
    </w:pPr>
    <w:rPr>
      <w:sz w:val="16"/>
      <w:szCs w:val="16"/>
      <w:lang w:val="en-US" w:eastAsia="en-US"/>
    </w:rPr>
  </w:style>
  <w:style w:type="character" w:styleId="910" w:customStyle="1">
    <w:name w:val="Верхний колонтитул Знак"/>
    <w:basedOn w:val="719"/>
    <w:link w:val="901"/>
    <w:uiPriority w:val="99"/>
  </w:style>
  <w:style w:type="character" w:styleId="911" w:customStyle="1">
    <w:name w:val="Название Знак"/>
    <w:link w:val="742"/>
    <w:rPr>
      <w:b/>
      <w:sz w:val="28"/>
    </w:rPr>
  </w:style>
  <w:style w:type="character" w:styleId="912" w:customStyle="1">
    <w:name w:val="Основной текст с отступом Знак"/>
    <w:link w:val="903"/>
    <w:rPr>
      <w:sz w:val="28"/>
    </w:rPr>
  </w:style>
  <w:style w:type="paragraph" w:styleId="913">
    <w:name w:val="Body Text 2"/>
    <w:basedOn w:val="717"/>
    <w:link w:val="914"/>
    <w:pPr>
      <w:jc w:val="both"/>
      <w:widowControl w:val="off"/>
    </w:pPr>
    <w:rPr>
      <w:sz w:val="28"/>
    </w:rPr>
  </w:style>
  <w:style w:type="character" w:styleId="914" w:customStyle="1">
    <w:name w:val="Основной текст 2 Знак"/>
    <w:basedOn w:val="719"/>
    <w:link w:val="913"/>
  </w:style>
  <w:style w:type="character" w:styleId="915" w:customStyle="1">
    <w:name w:val="Основной текст Знак"/>
    <w:link w:val="900"/>
    <w:rPr>
      <w:sz w:val="28"/>
    </w:rPr>
  </w:style>
  <w:style w:type="paragraph" w:styleId="916">
    <w:name w:val="Plain Text"/>
    <w:basedOn w:val="717"/>
    <w:link w:val="917"/>
    <w:unhideWhenUsed/>
    <w:rPr>
      <w:rFonts w:ascii="Courier New" w:hAnsi="Courier New"/>
      <w:lang w:val="en-US" w:eastAsia="en-US"/>
    </w:rPr>
  </w:style>
  <w:style w:type="character" w:styleId="917" w:customStyle="1">
    <w:name w:val="Текст Знак"/>
    <w:link w:val="916"/>
    <w:rPr>
      <w:rFonts w:ascii="Courier New" w:hAnsi="Courier New"/>
    </w:rPr>
  </w:style>
  <w:style w:type="character" w:styleId="918" w:customStyle="1">
    <w:name w:val="Заголовок 1 Знак"/>
    <w:link w:val="718"/>
    <w:rPr>
      <w:sz w:val="28"/>
    </w:rPr>
  </w:style>
  <w:style w:type="paragraph" w:styleId="919" w:customStyle="1">
    <w:name w:val="заглавие"/>
    <w:basedOn w:val="717"/>
    <w:rPr>
      <w:sz w:val="28"/>
    </w:rPr>
  </w:style>
  <w:style w:type="paragraph" w:styleId="920" w:customStyle="1">
    <w:name w:val="Знак"/>
    <w:basedOn w:val="717"/>
    <w:pPr>
      <w:spacing w:after="160" w:line="240" w:lineRule="exact"/>
    </w:pPr>
    <w:rPr>
      <w:rFonts w:eastAsia="Calibri"/>
      <w:lang w:eastAsia="zh-CN"/>
    </w:rPr>
  </w:style>
  <w:style w:type="paragraph" w:styleId="921" w:customStyle="1">
    <w:name w:val="Обращение"/>
    <w:basedOn w:val="717"/>
    <w:pPr>
      <w:jc w:val="center"/>
    </w:pPr>
    <w:rPr>
      <w:sz w:val="28"/>
      <w:szCs w:val="28"/>
    </w:rPr>
  </w:style>
  <w:style w:type="paragraph" w:styleId="922" w:customStyle="1">
    <w:name w:val="Обычный1"/>
    <w:rPr>
      <w:sz w:val="24"/>
      <w:lang w:eastAsia="ru-RU"/>
    </w:rPr>
  </w:style>
  <w:style w:type="paragraph" w:styleId="923" w:customStyle="1">
    <w:name w:val="ConsPlusNormal"/>
    <w:rPr>
      <w:sz w:val="28"/>
      <w:szCs w:val="28"/>
      <w:lang w:eastAsia="ru-RU"/>
    </w:rPr>
  </w:style>
  <w:style w:type="paragraph" w:styleId="924">
    <w:name w:val="Normal (Web)"/>
    <w:basedOn w:val="717"/>
    <w:unhideWhenUsed/>
    <w:pPr>
      <w:ind w:firstLine="225"/>
      <w:spacing w:before="240" w:after="100" w:afterAutospacing="1"/>
    </w:pPr>
    <w:rPr>
      <w:rFonts w:ascii="Verdana" w:hAnsi="Verdana"/>
      <w:color w:val="000000"/>
      <w:sz w:val="16"/>
      <w:szCs w:val="16"/>
    </w:rPr>
  </w:style>
  <w:style w:type="character" w:styleId="925" w:customStyle="1">
    <w:name w:val="Основной текст с отступом 3 Знак"/>
    <w:link w:val="909"/>
    <w:uiPriority w:val="99"/>
    <w:rPr>
      <w:sz w:val="16"/>
      <w:szCs w:val="16"/>
    </w:rPr>
  </w:style>
  <w:style w:type="character" w:styleId="926">
    <w:name w:val="Emphasis"/>
    <w:basedOn w:val="719"/>
    <w:qFormat/>
    <w:rPr>
      <w:i/>
      <w:iCs/>
    </w:rPr>
  </w:style>
  <w:style w:type="paragraph" w:styleId="927" w:customStyle="1">
    <w:name w:val="ConsPlusTitle"/>
    <w:uiPriority w:val="99"/>
    <w:pPr>
      <w:widowControl w:val="off"/>
    </w:pPr>
    <w:rPr>
      <w:rFonts w:ascii="Arial" w:hAnsi="Arial" w:cs="Arial"/>
      <w:b/>
      <w:bCs/>
      <w:lang w:eastAsia="ru-RU"/>
    </w:rPr>
  </w:style>
  <w:style w:type="paragraph" w:styleId="928" w:customStyle="1">
    <w:name w:val="caaieiaie 6"/>
    <w:basedOn w:val="717"/>
    <w:next w:val="717"/>
    <w:pPr>
      <w:jc w:val="center"/>
      <w:keepNext/>
    </w:pPr>
    <w:rPr>
      <w:sz w:val="24"/>
      <w:szCs w:val="24"/>
    </w:rPr>
  </w:style>
  <w:style w:type="paragraph" w:styleId="929" w:customStyle="1">
    <w:name w:val="Основной текст1"/>
    <w:pPr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eastAsia="ru-RU"/>
    </w:rPr>
  </w:style>
  <w:style w:type="character" w:styleId="930" w:customStyle="1">
    <w:name w:val="docdata;docy;v5;1591;bqiaagaaeyqcaaagiaiaaaovawaabamdaaaaaaaaaaaaaaaaaaaaaaaaaaaaaaaaaaaaaaaaaaaaaaaaaaaaaaaaaaaaaaaaaaaaaaaaaaaaaaaaaaaaaaaaaaaaaaaaaaaaaaaaaaaaaaaaaaaaaaaaaaaaaaaaaaaaaaaaaaaaaaaaaaaaaaaaaaaaaaaaaaaaaaaaaaaaaaaaaaaaaaaaaaaaaaaaaaaaaaaa"/>
  </w:style>
  <w:style w:type="paragraph" w:styleId="931" w:customStyle="1">
    <w:name w:val="958;bqiaagaaeyqcaaagiaiaaanbawaabwkdaaaaaaaaaaaaaaaaaaaaaaaaaaaaaaaaaaaaaaaaaaaaaaaaaaaaaaaaaaaaaaaaaaaaaaaaaaaaaaaaaaaaaaaaaaaaaaaaaaaaaaaaaaaaaaaaaaaaaaaaaaaaaaaaaaaaaaaaaaaaaaaaaaaaaaaaaaaaaaaaaaaaaaaaaaaaaaaaaaaaaaaaaaaaaaaaaaaaaaaaa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2" w:customStyle="1">
    <w:name w:val="1191"/>
    <w:basedOn w:val="768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CtrlSoft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 на вопросы депутатов городской Думы</dc:title>
  <dc:creator>P III 733</dc:creator>
  <cp:lastModifiedBy>zikunov</cp:lastModifiedBy>
  <cp:revision>46</cp:revision>
  <dcterms:created xsi:type="dcterms:W3CDTF">2024-11-20T05:16:00Z</dcterms:created>
  <dcterms:modified xsi:type="dcterms:W3CDTF">2025-11-13T04:22:44Z</dcterms:modified>
  <cp:version>786432</cp:version>
</cp:coreProperties>
</file>